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7B" w:rsidRDefault="0019336D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 xml:space="preserve">2nd </w:t>
      </w:r>
      <w:r>
        <w:rPr>
          <w:rFonts w:ascii="Century Gothic" w:eastAsia="Century Gothic" w:hAnsi="Century Gothic" w:cs="Century Gothic"/>
          <w:b/>
          <w:highlight w:val="yellow"/>
        </w:rPr>
        <w:t xml:space="preserve">Nine </w:t>
      </w:r>
      <w:proofErr w:type="gramStart"/>
      <w:r>
        <w:rPr>
          <w:rFonts w:ascii="Century Gothic" w:eastAsia="Century Gothic" w:hAnsi="Century Gothic" w:cs="Century Gothic"/>
          <w:b/>
          <w:highlight w:val="yellow"/>
        </w:rPr>
        <w:t>Weeks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entury Gothic" w:eastAsia="Century Gothic" w:hAnsi="Century Gothic" w:cs="Century Gothic"/>
          <w:b/>
          <w:highlight w:val="yellow"/>
        </w:rPr>
        <w:t>(</w:t>
      </w:r>
      <w:proofErr w:type="gramEnd"/>
      <w:r>
        <w:rPr>
          <w:rFonts w:ascii="Century Gothic" w:eastAsia="Century Gothic" w:hAnsi="Century Gothic" w:cs="Century Gothic"/>
          <w:b/>
          <w:highlight w:val="yellow"/>
        </w:rPr>
        <w:t xml:space="preserve">English 12) </w:t>
      </w:r>
      <w:r>
        <w:rPr>
          <w:rFonts w:ascii="Century Gothic" w:eastAsia="Century Gothic" w:hAnsi="Century Gothic" w:cs="Century Gothic"/>
          <w:b/>
        </w:rPr>
        <w:t>– 201</w:t>
      </w:r>
      <w:r>
        <w:rPr>
          <w:rFonts w:ascii="Century Gothic" w:eastAsia="Century Gothic" w:hAnsi="Century Gothic" w:cs="Century Gothic"/>
          <w:b/>
        </w:rPr>
        <w:t>9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2020</w:t>
      </w:r>
    </w:p>
    <w:p w:rsidR="004B727B" w:rsidRDefault="0019336D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 xml:space="preserve">25 Total Days of Instruction  </w:t>
      </w:r>
    </w:p>
    <w:p w:rsidR="004B727B" w:rsidRDefault="004B727B">
      <w:pPr>
        <w:jc w:val="center"/>
        <w:rPr>
          <w:rFonts w:ascii="Century Gothic" w:eastAsia="Century Gothic" w:hAnsi="Century Gothic" w:cs="Century Gothic"/>
        </w:rPr>
      </w:pPr>
    </w:p>
    <w:p w:rsidR="004B727B" w:rsidRDefault="004B727B">
      <w:pPr>
        <w:jc w:val="center"/>
        <w:rPr>
          <w:rFonts w:ascii="Century Gothic" w:eastAsia="Century Gothic" w:hAnsi="Century Gothic" w:cs="Century Gothic"/>
        </w:rPr>
      </w:pPr>
    </w:p>
    <w:p w:rsidR="004B727B" w:rsidRDefault="0019336D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will be able to read to find answers to life's big questions.</w:t>
      </w: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write to organize their thoughts. 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19336D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Focus Standards: 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Reading Skills</w:t>
        </w:r>
      </w:hyperlink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Literature (RL): Analyze Shakespeare’s play for theme, characterization, and historical purpose. Study psychological and historical cri</w:t>
      </w:r>
      <w:r>
        <w:rPr>
          <w:rFonts w:ascii="Century Gothic" w:eastAsia="Century Gothic" w:hAnsi="Century Gothic" w:cs="Century Gothic"/>
          <w:b/>
        </w:rPr>
        <w:t>ticism using Shakespeare’s tragedies. Analyze a work of literature in which the reader must distinguish between what is directly stated and what is intended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what a text says explicitly and implicitly as well as inferences and interpretations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drawn from the text through citing textual </w:t>
      </w:r>
    </w:p>
    <w:p w:rsidR="004B727B" w:rsidRDefault="0019336D">
      <w:pPr>
        <w:ind w:left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evidence determining where the text leaves matters uncertain.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Compare and contrast the development of similar themes across two or more works of literature and analyze how they emerge and are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shaped and </w:t>
      </w:r>
      <w:r>
        <w:rPr>
          <w:rFonts w:ascii="Century Gothic" w:eastAsia="Century Gothic" w:hAnsi="Century Gothic" w:cs="Century Gothic"/>
          <w:sz w:val="20"/>
          <w:szCs w:val="20"/>
        </w:rPr>
        <w:t>refined by specific details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how the author's choices impact character development over the course of a text (e.g. how the characters are introduced and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developed)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RL.3.1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Analyze and evaluate how an author’s choices concerning how to structure specific parts of a work of literature (e.g. the choice of where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to begin or end a story, the choice to provide a comedic or tragic resolution) contribute to its overall meaning and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effect of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a .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work.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RL.3.2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a work of literature in which the reader must distinguish between what is directly stated and what is intended in order to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understand the perspectives (e.g., satire, sarcasm,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irony ,or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understatement)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RL.4.1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mult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iple interpretations or adaptations of a story and evaluate the extent to which multiple interpretations of a story, play, or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poem stay faithful to or departs from the text or script and analyze the impact of the interpretations on the audience.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RL.4.2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alyze and evaluate works of literary or cultural significance in history for the way in which these works have used archetypes drawn from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myths, traditional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stories,or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religious works, as well as how two or more of the works treat similar themes, conflict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s, issues, or topics, and maintain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relevance for current audiences.</w:t>
      </w:r>
    </w:p>
    <w:p w:rsidR="004B727B" w:rsidRDefault="004B727B">
      <w:pPr>
        <w:ind w:left="720"/>
        <w:rPr>
          <w:rFonts w:ascii="Century Gothic" w:eastAsia="Century Gothic" w:hAnsi="Century Gothic" w:cs="Century Gothic"/>
          <w:b/>
        </w:rPr>
      </w:pP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Nonfiction (RN): Gain background knowledge that helps reveal the author's purpose. Analyze a work of literature in which the reader must distinguish between what is directly stated and what is intended.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RN.2.1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Analyze what a text says explicitly as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well as inferences and interpretations drawn from the text by citing strong and thorough textual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evidence to support and explain how the evidence develops the analysis.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RN.3.3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Determine an author’s perspective or purpose in a text in which the rhetoric is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particularly effective (</w:t>
      </w:r>
      <w:proofErr w:type="spellStart"/>
      <w:r>
        <w:rPr>
          <w:rFonts w:ascii="Century Gothic" w:eastAsia="Century Gothic" w:hAnsi="Century Gothic" w:cs="Century Gothic"/>
          <w:sz w:val="20"/>
          <w:szCs w:val="20"/>
        </w:rPr>
        <w:t>e.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g.appeals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to both friendly and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hostile audiences, anticipates and addresses reader concerns and counterclaims) and analyzing how style and content contribute to the power 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and persuasiveness of the text.</w:t>
      </w: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Writing Skills</w:t>
        </w:r>
      </w:hyperlink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W.3.1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Write </w:t>
      </w:r>
      <w:r>
        <w:rPr>
          <w:rFonts w:ascii="Calibri" w:eastAsia="Calibri" w:hAnsi="Calibri" w:cs="Calibri"/>
          <w:b/>
          <w:sz w:val="22"/>
          <w:szCs w:val="22"/>
        </w:rPr>
        <w:t xml:space="preserve">arguments </w:t>
      </w:r>
      <w:r>
        <w:rPr>
          <w:rFonts w:ascii="Calibri" w:eastAsia="Calibri" w:hAnsi="Calibri" w:cs="Calibri"/>
          <w:sz w:val="22"/>
          <w:szCs w:val="22"/>
        </w:rPr>
        <w:t xml:space="preserve">in a variety of forms that – </w:t>
      </w:r>
    </w:p>
    <w:p w:rsidR="004B727B" w:rsidRDefault="0019336D">
      <w:pPr>
        <w:numPr>
          <w:ilvl w:val="0"/>
          <w:numId w:val="1"/>
        </w:numPr>
        <w:ind w:left="900" w:hanging="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 xml:space="preserve">Introduce precise claim(s), establish the significance of the claim(s), distinguish </w:t>
      </w:r>
      <w:proofErr w:type="gramStart"/>
      <w:r>
        <w:rPr>
          <w:rFonts w:ascii="Calibri" w:eastAsia="Calibri" w:hAnsi="Calibri" w:cs="Calibri"/>
          <w:sz w:val="22"/>
          <w:szCs w:val="22"/>
        </w:rPr>
        <w:t>the  claim</w:t>
      </w:r>
      <w:proofErr w:type="gramEnd"/>
      <w:r>
        <w:rPr>
          <w:rFonts w:ascii="Calibri" w:eastAsia="Calibri" w:hAnsi="Calibri" w:cs="Calibri"/>
          <w:sz w:val="22"/>
          <w:szCs w:val="22"/>
        </w:rPr>
        <w:t>(s) from alternate or opposing claims, and create an organization that logically sequences  claim(s), counterclaims, reasons, and evidence.</w:t>
      </w:r>
    </w:p>
    <w:p w:rsidR="004B727B" w:rsidRDefault="0019336D">
      <w:pPr>
        <w:numPr>
          <w:ilvl w:val="0"/>
          <w:numId w:val="1"/>
        </w:numPr>
        <w:ind w:left="900" w:hanging="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Use rhetorical strateg</w:t>
      </w:r>
      <w:r>
        <w:rPr>
          <w:rFonts w:ascii="Calibri" w:eastAsia="Calibri" w:hAnsi="Calibri" w:cs="Calibri"/>
          <w:sz w:val="22"/>
          <w:szCs w:val="22"/>
        </w:rPr>
        <w:t>ies to enhance the effectiveness of the claim.</w:t>
      </w:r>
    </w:p>
    <w:p w:rsidR="004B727B" w:rsidRDefault="0019336D">
      <w:pPr>
        <w:numPr>
          <w:ilvl w:val="0"/>
          <w:numId w:val="1"/>
        </w:numPr>
        <w:ind w:left="900" w:hanging="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Develop claim(s) and counterclaims fairly and thoroughly, supplying the most relevant evidence </w:t>
      </w:r>
      <w:proofErr w:type="gramStart"/>
      <w:r>
        <w:rPr>
          <w:rFonts w:ascii="Calibri" w:eastAsia="Calibri" w:hAnsi="Calibri" w:cs="Calibri"/>
          <w:sz w:val="22"/>
          <w:szCs w:val="22"/>
        </w:rPr>
        <w:t>for  each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while pointing out the strengths and limitations of both in a manner that anticipates the  audience’s kn</w:t>
      </w:r>
      <w:r>
        <w:rPr>
          <w:rFonts w:ascii="Calibri" w:eastAsia="Calibri" w:hAnsi="Calibri" w:cs="Calibri"/>
          <w:sz w:val="22"/>
          <w:szCs w:val="22"/>
        </w:rPr>
        <w:t>owledge level, concerns, values, and possible biases.</w:t>
      </w:r>
    </w:p>
    <w:p w:rsidR="004B727B" w:rsidRDefault="0019336D">
      <w:pPr>
        <w:numPr>
          <w:ilvl w:val="0"/>
          <w:numId w:val="1"/>
        </w:numPr>
        <w:ind w:left="900" w:hanging="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Use effective and varied transitions as well as varied syntax to link the major sections of the text, </w:t>
      </w:r>
      <w:proofErr w:type="gramStart"/>
      <w:r>
        <w:rPr>
          <w:rFonts w:ascii="Calibri" w:eastAsia="Calibri" w:hAnsi="Calibri" w:cs="Calibri"/>
          <w:sz w:val="22"/>
          <w:szCs w:val="22"/>
        </w:rPr>
        <w:t>create  cohesion</w:t>
      </w:r>
      <w:proofErr w:type="gramEnd"/>
      <w:r>
        <w:rPr>
          <w:rFonts w:ascii="Calibri" w:eastAsia="Calibri" w:hAnsi="Calibri" w:cs="Calibri"/>
          <w:sz w:val="22"/>
          <w:szCs w:val="22"/>
        </w:rPr>
        <w:t>, and clarify the relationships between claim(s) and reasons, between reasons and ev</w:t>
      </w:r>
      <w:r>
        <w:rPr>
          <w:rFonts w:ascii="Calibri" w:eastAsia="Calibri" w:hAnsi="Calibri" w:cs="Calibri"/>
          <w:sz w:val="22"/>
          <w:szCs w:val="22"/>
        </w:rPr>
        <w:t>idence,  and between claim(s) and counterclaims.</w:t>
      </w:r>
    </w:p>
    <w:p w:rsidR="004B727B" w:rsidRDefault="0019336D">
      <w:pPr>
        <w:numPr>
          <w:ilvl w:val="0"/>
          <w:numId w:val="1"/>
        </w:numPr>
        <w:ind w:left="900" w:hanging="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Establish and maintain a consistent style and tone appropriate to purpose and audience.</w:t>
      </w:r>
    </w:p>
    <w:p w:rsidR="004B727B" w:rsidRDefault="0019336D">
      <w:pPr>
        <w:numPr>
          <w:ilvl w:val="0"/>
          <w:numId w:val="1"/>
        </w:numPr>
        <w:ind w:left="900" w:hanging="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Provide a concluding statement or section that follows from and supports the argument presented.</w:t>
      </w:r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W.3.2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Write informativ</w:t>
      </w:r>
      <w:r>
        <w:rPr>
          <w:rFonts w:ascii="Century Gothic" w:eastAsia="Century Gothic" w:hAnsi="Century Gothic" w:cs="Century Gothic"/>
          <w:sz w:val="20"/>
          <w:szCs w:val="20"/>
        </w:rPr>
        <w:t>e compositions on a variety of topics that –</w:t>
      </w:r>
    </w:p>
    <w:p w:rsidR="004B727B" w:rsidRDefault="0019336D">
      <w:pPr>
        <w:ind w:left="810" w:hanging="9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●Introduce a topic; organize complex ideas, concepts, and information so that each new element builds on that which precedes it to create a unified whole; include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formatting(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e.g., headings), graphics (e.g.,</w:t>
      </w:r>
      <w:proofErr w:type="spellStart"/>
      <w:r>
        <w:rPr>
          <w:rFonts w:ascii="Century Gothic" w:eastAsia="Century Gothic" w:hAnsi="Century Gothic" w:cs="Century Gothic"/>
          <w:sz w:val="20"/>
          <w:szCs w:val="20"/>
        </w:rPr>
        <w:t>figur</w:t>
      </w:r>
      <w:r>
        <w:rPr>
          <w:rFonts w:ascii="Century Gothic" w:eastAsia="Century Gothic" w:hAnsi="Century Gothic" w:cs="Century Gothic"/>
          <w:sz w:val="20"/>
          <w:szCs w:val="20"/>
        </w:rPr>
        <w:t>es,tables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>),and multimedia when useful to aiding comprehension.</w:t>
      </w:r>
    </w:p>
    <w:p w:rsidR="004B727B" w:rsidRDefault="0019336D">
      <w:pPr>
        <w:ind w:left="810" w:hanging="9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●Utilizing credible sources, develop the topic thoroughly by selecting the most significant and relevant facts, extended definitions, concrete details, quotations, or other information and exam</w:t>
      </w:r>
      <w:r>
        <w:rPr>
          <w:rFonts w:ascii="Century Gothic" w:eastAsia="Century Gothic" w:hAnsi="Century Gothic" w:cs="Century Gothic"/>
          <w:sz w:val="20"/>
          <w:szCs w:val="20"/>
        </w:rPr>
        <w:t>ples appropriate to the audience’s knowledge of the topic.</w:t>
      </w:r>
    </w:p>
    <w:p w:rsidR="004B727B" w:rsidRDefault="0019336D">
      <w:pPr>
        <w:ind w:left="810" w:hanging="9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●Use appropriate and varied transitions and syntax to link the major sections of the text, create cohesion, and clarify the relationships among complex </w:t>
      </w:r>
      <w:proofErr w:type="spellStart"/>
      <w:r>
        <w:rPr>
          <w:rFonts w:ascii="Century Gothic" w:eastAsia="Century Gothic" w:hAnsi="Century Gothic" w:cs="Century Gothic"/>
          <w:sz w:val="20"/>
          <w:szCs w:val="20"/>
        </w:rPr>
        <w:t>ideasand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 xml:space="preserve"> concepts.</w:t>
      </w:r>
    </w:p>
    <w:p w:rsidR="004B727B" w:rsidRDefault="0019336D">
      <w:pPr>
        <w:ind w:left="810" w:hanging="9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Choose language, content-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specific vocabulary, and techniques to manage the complexity of the topic, recognizing and eliminating wordiness and redundancy. </w:t>
      </w:r>
    </w:p>
    <w:p w:rsidR="004B727B" w:rsidRDefault="0019336D">
      <w:pPr>
        <w:numPr>
          <w:ilvl w:val="0"/>
          <w:numId w:val="3"/>
        </w:numPr>
        <w:ind w:left="810" w:hanging="9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Establish and maintain a style appropriate to the purpose and audience. </w:t>
      </w:r>
    </w:p>
    <w:p w:rsidR="004B727B" w:rsidRDefault="0019336D">
      <w:pPr>
        <w:numPr>
          <w:ilvl w:val="0"/>
          <w:numId w:val="3"/>
        </w:numPr>
        <w:ind w:left="810" w:hanging="9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Provide a concluding statement or section that follow</w:t>
      </w:r>
      <w:r>
        <w:rPr>
          <w:rFonts w:ascii="Century Gothic" w:eastAsia="Century Gothic" w:hAnsi="Century Gothic" w:cs="Century Gothic"/>
          <w:sz w:val="20"/>
          <w:szCs w:val="20"/>
        </w:rPr>
        <w:t>s from and supports the information or explanation presented (e.g., articulating implications or the significance of the topic).</w:t>
      </w:r>
    </w:p>
    <w:p w:rsidR="004B727B" w:rsidRDefault="0019336D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W.3.3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Write </w:t>
      </w:r>
      <w:r>
        <w:rPr>
          <w:rFonts w:ascii="Calibri" w:eastAsia="Calibri" w:hAnsi="Calibri" w:cs="Calibri"/>
          <w:b/>
          <w:sz w:val="22"/>
          <w:szCs w:val="22"/>
        </w:rPr>
        <w:t xml:space="preserve">narrative </w:t>
      </w:r>
      <w:r>
        <w:rPr>
          <w:rFonts w:ascii="Calibri" w:eastAsia="Calibri" w:hAnsi="Calibri" w:cs="Calibri"/>
          <w:sz w:val="22"/>
          <w:szCs w:val="22"/>
        </w:rPr>
        <w:t xml:space="preserve">compositions in a variety of forms that – </w:t>
      </w:r>
    </w:p>
    <w:p w:rsidR="004B727B" w:rsidRDefault="0019336D">
      <w:pPr>
        <w:widowControl w:val="0"/>
        <w:spacing w:before="11" w:line="243" w:lineRule="auto"/>
        <w:ind w:left="1686" w:right="71" w:firstLine="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Engage and orient the reader by setting out a problem, situation, or observation and its </w:t>
      </w:r>
      <w:proofErr w:type="gramStart"/>
      <w:r>
        <w:rPr>
          <w:rFonts w:ascii="Calibri" w:eastAsia="Calibri" w:hAnsi="Calibri" w:cs="Calibri"/>
          <w:sz w:val="22"/>
          <w:szCs w:val="22"/>
        </w:rPr>
        <w:t>significance,  establishing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one or multiple point(s) of view, and introducing a narrator and/or characters.  </w:t>
      </w:r>
    </w:p>
    <w:p w:rsidR="004B727B" w:rsidRDefault="0019336D">
      <w:pPr>
        <w:widowControl w:val="0"/>
        <w:spacing w:before="226"/>
        <w:ind w:left="169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● Create a smooth progression of experiences or events.</w:t>
      </w:r>
      <w:r>
        <w:rPr>
          <w:rFonts w:ascii="Calibri" w:eastAsia="Calibri" w:hAnsi="Calibri" w:cs="Calibri"/>
          <w:sz w:val="22"/>
          <w:szCs w:val="22"/>
        </w:rPr>
        <w:t xml:space="preserve">  </w:t>
      </w:r>
    </w:p>
    <w:p w:rsidR="004B727B" w:rsidRDefault="0019336D">
      <w:pPr>
        <w:widowControl w:val="0"/>
        <w:spacing w:before="231" w:line="243" w:lineRule="auto"/>
        <w:ind w:left="1687" w:right="65" w:firstLine="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Use narrative techniques, such as dialogue, pacing, description, reflection, and multiple plot lines, </w:t>
      </w:r>
      <w:proofErr w:type="gramStart"/>
      <w:r>
        <w:rPr>
          <w:rFonts w:ascii="Calibri" w:eastAsia="Calibri" w:hAnsi="Calibri" w:cs="Calibri"/>
          <w:sz w:val="22"/>
          <w:szCs w:val="22"/>
        </w:rPr>
        <w:t>to  develop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experiences, events, and/or characters.  </w:t>
      </w:r>
    </w:p>
    <w:p w:rsidR="004B727B" w:rsidRDefault="0019336D">
      <w:pPr>
        <w:widowControl w:val="0"/>
        <w:spacing w:before="226" w:line="243" w:lineRule="auto"/>
        <w:ind w:left="1683" w:right="294" w:firstLine="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Use a variety of techniques to sequence events so that they build on one another to create </w:t>
      </w:r>
      <w:proofErr w:type="gramStart"/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sz w:val="22"/>
          <w:szCs w:val="22"/>
        </w:rPr>
        <w:t xml:space="preserve"> coherent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whole and build toward a particular tone and outcome (</w:t>
      </w:r>
      <w:r>
        <w:rPr>
          <w:rFonts w:ascii="Calibri" w:eastAsia="Calibri" w:hAnsi="Calibri" w:cs="Calibri"/>
          <w:i/>
          <w:sz w:val="22"/>
          <w:szCs w:val="22"/>
        </w:rPr>
        <w:t>e.g., a sense of mystery, suspense,  growth, or resolution</w:t>
      </w:r>
      <w:r>
        <w:rPr>
          <w:rFonts w:ascii="Calibri" w:eastAsia="Calibri" w:hAnsi="Calibri" w:cs="Calibri"/>
          <w:sz w:val="22"/>
          <w:szCs w:val="22"/>
        </w:rPr>
        <w:t xml:space="preserve">).  </w:t>
      </w:r>
    </w:p>
    <w:p w:rsidR="004B727B" w:rsidRDefault="0019336D">
      <w:pPr>
        <w:widowControl w:val="0"/>
        <w:spacing w:before="226" w:line="243" w:lineRule="auto"/>
        <w:ind w:left="1686" w:right="122" w:firstLine="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Use precise words and phrases, telling details, and sensory language to convey a vivid picture of </w:t>
      </w:r>
      <w:proofErr w:type="gramStart"/>
      <w:r>
        <w:rPr>
          <w:rFonts w:ascii="Calibri" w:eastAsia="Calibri" w:hAnsi="Calibri" w:cs="Calibri"/>
          <w:sz w:val="22"/>
          <w:szCs w:val="22"/>
        </w:rPr>
        <w:t>the  experiences</w:t>
      </w:r>
      <w:proofErr w:type="gramEnd"/>
      <w:r>
        <w:rPr>
          <w:rFonts w:ascii="Calibri" w:eastAsia="Calibri" w:hAnsi="Calibri" w:cs="Calibri"/>
          <w:sz w:val="22"/>
          <w:szCs w:val="22"/>
        </w:rPr>
        <w:t>, events, set</w:t>
      </w:r>
      <w:r>
        <w:rPr>
          <w:rFonts w:ascii="Calibri" w:eastAsia="Calibri" w:hAnsi="Calibri" w:cs="Calibri"/>
          <w:sz w:val="22"/>
          <w:szCs w:val="22"/>
        </w:rPr>
        <w:t xml:space="preserve">ting, and/or characters.  </w:t>
      </w:r>
    </w:p>
    <w:p w:rsidR="004B727B" w:rsidRDefault="0019336D">
      <w:pPr>
        <w:widowControl w:val="0"/>
        <w:spacing w:before="228" w:line="243" w:lineRule="auto"/>
        <w:ind w:left="1680" w:right="103" w:firstLine="15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 xml:space="preserve">● Provide an ending that follows from and reflects on what is experienced, observed, or resolved </w:t>
      </w:r>
      <w:proofErr w:type="gramStart"/>
      <w:r>
        <w:rPr>
          <w:rFonts w:ascii="Calibri" w:eastAsia="Calibri" w:hAnsi="Calibri" w:cs="Calibri"/>
          <w:sz w:val="22"/>
          <w:szCs w:val="22"/>
        </w:rPr>
        <w:t>over  the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course of the narrative. </w:t>
      </w:r>
    </w:p>
    <w:p w:rsidR="004B727B" w:rsidRDefault="0019336D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 xml:space="preserve">W.4 </w:t>
      </w:r>
      <w:r>
        <w:rPr>
          <w:rFonts w:ascii="Calibri" w:eastAsia="Calibri" w:hAnsi="Calibri" w:cs="Calibri"/>
          <w:sz w:val="22"/>
          <w:szCs w:val="22"/>
        </w:rPr>
        <w:t xml:space="preserve">Apply the writing process to all formal writing including but not limited to argumentative, </w:t>
      </w:r>
      <w:r>
        <w:rPr>
          <w:rFonts w:ascii="Calibri" w:eastAsia="Calibri" w:hAnsi="Calibri" w:cs="Calibri"/>
          <w:sz w:val="22"/>
          <w:szCs w:val="22"/>
        </w:rPr>
        <w:t xml:space="preserve">informative, and narrative.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Plan and develop; draft; revise using appropriate reference materials; rewrite; try a new approach, focusing on addressing what is most </w:t>
      </w:r>
    </w:p>
    <w:p w:rsidR="004B727B" w:rsidRDefault="0019336D">
      <w:pPr>
        <w:ind w:left="14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significant for a specific purpose and audience; and edit to produce and strengthen writ</w:t>
      </w:r>
      <w:r>
        <w:rPr>
          <w:rFonts w:ascii="Calibri" w:eastAsia="Calibri" w:hAnsi="Calibri" w:cs="Calibri"/>
          <w:sz w:val="22"/>
          <w:szCs w:val="22"/>
        </w:rPr>
        <w:t>ing that is clear and coherent.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Use technology to generate,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produce,publish</w:t>
      </w:r>
      <w:proofErr w:type="gramEnd"/>
      <w:r>
        <w:rPr>
          <w:rFonts w:ascii="Calibri" w:eastAsia="Calibri" w:hAnsi="Calibri" w:cs="Calibri"/>
          <w:sz w:val="22"/>
          <w:szCs w:val="22"/>
        </w:rPr>
        <w:t>,and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update individual or shared writing products in response to ongoing feedback,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including new arguments or information.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Utilize a standard style guide framework for in-text documentation, formatting, and works cited in order to properly credit sources in all writing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types, utilizing multiple sources when appropriate</w:t>
      </w:r>
    </w:p>
    <w:p w:rsidR="004B727B" w:rsidRDefault="0019336D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 xml:space="preserve">W.5 </w:t>
      </w:r>
      <w:r>
        <w:rPr>
          <w:rFonts w:ascii="Calibri" w:eastAsia="Calibri" w:hAnsi="Calibri" w:cs="Calibri"/>
          <w:sz w:val="22"/>
          <w:szCs w:val="22"/>
        </w:rPr>
        <w:t>Conduct short as well as more sustained research as</w:t>
      </w:r>
      <w:r>
        <w:rPr>
          <w:rFonts w:ascii="Calibri" w:eastAsia="Calibri" w:hAnsi="Calibri" w:cs="Calibri"/>
          <w:sz w:val="22"/>
          <w:szCs w:val="22"/>
        </w:rPr>
        <w:t xml:space="preserve">signments and tasks to build knowledge about </w:t>
      </w:r>
      <w:proofErr w:type="gramStart"/>
      <w:r>
        <w:rPr>
          <w:rFonts w:ascii="Calibri" w:eastAsia="Calibri" w:hAnsi="Calibri" w:cs="Calibri"/>
          <w:sz w:val="22"/>
          <w:szCs w:val="22"/>
        </w:rPr>
        <w:t>the  research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process and the topic under study.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Formulate an inquiry question, and refine and narrow the focus as research evolves. 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Gather relevant information from multiple types of authoritative sources, using advanced </w:t>
      </w:r>
      <w:proofErr w:type="gramStart"/>
      <w:r>
        <w:rPr>
          <w:rFonts w:ascii="Calibri" w:eastAsia="Calibri" w:hAnsi="Calibri" w:cs="Calibri"/>
          <w:sz w:val="22"/>
          <w:szCs w:val="22"/>
        </w:rPr>
        <w:t>searches  effectively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, and annotate sources. 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● Assess the strengths and limitations of each source in terms of the task, purpose, and audience.  ● Synthesize and i</w:t>
      </w:r>
      <w:r>
        <w:rPr>
          <w:rFonts w:ascii="Calibri" w:eastAsia="Calibri" w:hAnsi="Calibri" w:cs="Calibri"/>
          <w:sz w:val="22"/>
          <w:szCs w:val="22"/>
        </w:rPr>
        <w:t xml:space="preserve">ntegrate information into the </w:t>
      </w:r>
    </w:p>
    <w:p w:rsidR="004B727B" w:rsidRDefault="0019336D">
      <w:pPr>
        <w:ind w:left="14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text selectively to maintain the flow of ideas. 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● Avoid plagiarism and overreliance on any one source and follow a standard format (</w:t>
      </w:r>
      <w:r>
        <w:rPr>
          <w:rFonts w:ascii="Calibri" w:eastAsia="Calibri" w:hAnsi="Calibri" w:cs="Calibri"/>
          <w:i/>
          <w:sz w:val="22"/>
          <w:szCs w:val="22"/>
        </w:rPr>
        <w:t xml:space="preserve">e.g., MLA, </w:t>
      </w:r>
      <w:proofErr w:type="gramStart"/>
      <w:r>
        <w:rPr>
          <w:rFonts w:ascii="Calibri" w:eastAsia="Calibri" w:hAnsi="Calibri" w:cs="Calibri"/>
          <w:i/>
          <w:sz w:val="22"/>
          <w:szCs w:val="22"/>
        </w:rPr>
        <w:t>APA</w:t>
      </w:r>
      <w:r>
        <w:rPr>
          <w:rFonts w:ascii="Calibri" w:eastAsia="Calibri" w:hAnsi="Calibri" w:cs="Calibri"/>
          <w:sz w:val="22"/>
          <w:szCs w:val="22"/>
        </w:rPr>
        <w:t>)  for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citation.  </w:t>
      </w:r>
    </w:p>
    <w:p w:rsidR="004B727B" w:rsidRDefault="0019336D">
      <w:pPr>
        <w:ind w:left="72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● Present information, choosing from a variety of formats.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:rsidR="004B727B" w:rsidRDefault="004B727B">
      <w:pPr>
        <w:ind w:left="720" w:firstLine="720"/>
        <w:rPr>
          <w:rFonts w:ascii="Calibri" w:eastAsia="Calibri" w:hAnsi="Calibri" w:cs="Calibri"/>
          <w:sz w:val="22"/>
          <w:szCs w:val="22"/>
        </w:rPr>
      </w:pPr>
    </w:p>
    <w:p w:rsidR="004B727B" w:rsidRDefault="0019336D">
      <w:pPr>
        <w:numPr>
          <w:ilvl w:val="0"/>
          <w:numId w:val="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 Informative, Argumentative, Narrative</w:t>
      </w:r>
    </w:p>
    <w:p w:rsidR="004B727B" w:rsidRDefault="004B727B">
      <w:pPr>
        <w:ind w:left="1440"/>
        <w:rPr>
          <w:rFonts w:ascii="Century Gothic" w:eastAsia="Century Gothic" w:hAnsi="Century Gothic" w:cs="Century Gothic"/>
          <w:b/>
        </w:rPr>
      </w:pPr>
    </w:p>
    <w:p w:rsidR="004B727B" w:rsidRDefault="0019336D">
      <w:pPr>
        <w:numPr>
          <w:ilvl w:val="0"/>
          <w:numId w:val="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Experiences: Background of Shakespeare Play, Social Issues (for Satire Project)</w:t>
      </w:r>
    </w:p>
    <w:p w:rsidR="004B727B" w:rsidRDefault="004B727B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4B727B" w:rsidRDefault="0019336D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Speaking/Listening: Presenting Social Issue Satire Project</w:t>
      </w:r>
    </w:p>
    <w:p w:rsidR="004B727B" w:rsidRDefault="004B727B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4B727B" w:rsidRDefault="0019336D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4B727B" w:rsidRDefault="004B727B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ind w:left="720"/>
        <w:rPr>
          <w:rFonts w:ascii="Century Gothic" w:eastAsia="Century Gothic" w:hAnsi="Century Gothic" w:cs="Century Gothic"/>
          <w:b/>
        </w:rPr>
      </w:pP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4B727B" w:rsidRDefault="0019336D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RV.3.3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Interpret figures of speech in context and analyze their role in the text.</w:t>
      </w:r>
    </w:p>
    <w:p w:rsidR="004B727B" w:rsidRDefault="004B727B">
      <w:pPr>
        <w:rPr>
          <w:rFonts w:ascii="Century Gothic" w:eastAsia="Century Gothic" w:hAnsi="Century Gothic" w:cs="Century Gothic"/>
          <w:sz w:val="20"/>
          <w:szCs w:val="20"/>
        </w:rPr>
      </w:pPr>
    </w:p>
    <w:p w:rsidR="004B727B" w:rsidRDefault="0019336D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4B727B" w:rsidRDefault="004B727B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  <w:b/>
        </w:rPr>
      </w:pPr>
    </w:p>
    <w:p w:rsidR="004B727B" w:rsidRDefault="004B727B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24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170"/>
        <w:gridCol w:w="1350"/>
        <w:gridCol w:w="2790"/>
        <w:gridCol w:w="2295"/>
        <w:gridCol w:w="3030"/>
        <w:gridCol w:w="1065"/>
      </w:tblGrid>
      <w:tr w:rsidR="004B727B"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4B727B" w:rsidRDefault="004B727B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lastRenderedPageBreak/>
              <w:t>STANDARDS</w:t>
            </w:r>
          </w:p>
        </w:tc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lastRenderedPageBreak/>
              <w:t>(Include Lexile of Extended Texts)</w:t>
            </w:r>
          </w:p>
        </w:tc>
        <w:tc>
          <w:tcPr>
            <w:tcW w:w="0" w:type="auto"/>
            <w:shd w:val="clear" w:color="auto" w:fill="CCCCCC"/>
          </w:tcPr>
          <w:p w:rsidR="004B727B" w:rsidRDefault="0019336D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lastRenderedPageBreak/>
              <w:t>TIME SPENT</w:t>
            </w:r>
          </w:p>
        </w:tc>
      </w:tr>
      <w:tr w:rsidR="004B727B">
        <w:trPr>
          <w:trHeight w:val="1040"/>
        </w:trPr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Renaissance (Hamlet)</w:t>
            </w: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CLASSES CHOOSE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RL.3.2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RL.4.1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Hamlet Test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Soliloquy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Monologue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Tragic Flaw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Psychological Criticism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Historical Criticism</w:t>
            </w: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Civil War: The death of a King and the Chaos of Commonwealth” (Nat Geo History Magazine) (NF)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6 weeks</w:t>
            </w:r>
          </w:p>
        </w:tc>
      </w:tr>
      <w:tr w:rsidR="004B727B">
        <w:trPr>
          <w:trHeight w:val="510"/>
        </w:trPr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Macbeth Essay (on Hamlet Test)</w:t>
            </w: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4B727B">
        <w:trPr>
          <w:trHeight w:val="200"/>
        </w:trPr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Renaissance (Macbeth)</w:t>
            </w: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CLASSES CHOOSE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RL.4.1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Macbeth Test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Soliloquy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Monologue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Tragic Flaw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Psychological Criticism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Historical Criticism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‘Witchcraft in Shakespeare’s Time (</w:t>
            </w:r>
            <w:hyperlink r:id="rId10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PBS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6 weeks</w:t>
            </w:r>
          </w:p>
        </w:tc>
      </w:tr>
      <w:tr w:rsidR="004B727B">
        <w:trPr>
          <w:trHeight w:val="200"/>
        </w:trPr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Hamlet Essay (on Macbeth Test)</w:t>
            </w: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4B727B">
        <w:trPr>
          <w:trHeight w:val="200"/>
        </w:trPr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Satire Unit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RL.3.2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RN.2.1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RN.3.3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RV.3.3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Analyze Satire on Your Own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Social Issues Satire Project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Satire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Exaggeration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Incongruity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Reversal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Parody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Irony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Juxtaposition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Dramatic Irony</w:t>
            </w: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"Two Cars in Every Garage and Three Eyes on Every Fish"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 Modest Proposal” (Lexile 1520)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“Eve’s Apology in Defense of Women”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“Cautionary Tales” (Project Gutenberg)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Ozymandias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Rape of the Lock”</w:t>
            </w: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 Weeks</w:t>
            </w:r>
          </w:p>
        </w:tc>
      </w:tr>
      <w:tr w:rsidR="004B727B">
        <w:trPr>
          <w:trHeight w:val="200"/>
        </w:trPr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Writing: </w:t>
            </w:r>
          </w:p>
        </w:tc>
        <w:tc>
          <w:tcPr>
            <w:tcW w:w="0" w:type="auto"/>
          </w:tcPr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W.3.2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W.3.3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4B727B" w:rsidRDefault="0019336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W.5</w:t>
            </w: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B727B" w:rsidRDefault="004B727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:rsidR="004B727B" w:rsidRDefault="004B727B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4B727B" w:rsidRDefault="004B727B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4B727B" w:rsidRDefault="004B727B">
      <w:pPr>
        <w:rPr>
          <w:rFonts w:ascii="Century Gothic" w:eastAsia="Century Gothic" w:hAnsi="Century Gothic" w:cs="Century Gothic"/>
          <w:sz w:val="20"/>
          <w:szCs w:val="20"/>
        </w:rPr>
      </w:pPr>
    </w:p>
    <w:p w:rsidR="004B727B" w:rsidRDefault="004B727B">
      <w:pPr>
        <w:rPr>
          <w:rFonts w:ascii="Century Gothic" w:eastAsia="Century Gothic" w:hAnsi="Century Gothic" w:cs="Century Gothic"/>
          <w:sz w:val="20"/>
          <w:szCs w:val="20"/>
        </w:rPr>
      </w:pPr>
    </w:p>
    <w:p w:rsidR="004B727B" w:rsidRDefault="004B727B">
      <w:pPr>
        <w:rPr>
          <w:rFonts w:ascii="Century Gothic" w:eastAsia="Century Gothic" w:hAnsi="Century Gothic" w:cs="Century Gothic"/>
          <w:sz w:val="20"/>
          <w:szCs w:val="20"/>
        </w:rPr>
      </w:pPr>
    </w:p>
    <w:p w:rsidR="004B727B" w:rsidRDefault="004B727B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4B727B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CEF"/>
    <w:multiLevelType w:val="multilevel"/>
    <w:tmpl w:val="70225E8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3CA3B9A"/>
    <w:multiLevelType w:val="multilevel"/>
    <w:tmpl w:val="A64079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7537001"/>
    <w:multiLevelType w:val="multilevel"/>
    <w:tmpl w:val="3FD4F6C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7B"/>
    <w:rsid w:val="0019336D"/>
    <w:rsid w:val="004B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782D85-E379-4F2D-9850-A9BE2537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google.com/spreadsheets/d/1zVTSWqlRFaT84TyhcjrREZzoLhNcWK9hMPiq8i1u_e0/edit?usp=sharing" TargetMode="External"/><Relationship Id="rId10" Type="http://schemas.openxmlformats.org/officeDocument/2006/relationships/hyperlink" Target="https://www.pbslearningmedia.org/resource/shak13.ela.lit.supmac/supernatural-shakespeare-and-macbeth-shakespeare-uncover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2023-06-19T17:40:00Z</dcterms:created>
  <dcterms:modified xsi:type="dcterms:W3CDTF">2023-06-19T17:40:00Z</dcterms:modified>
</cp:coreProperties>
</file>